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 Control</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Variations to this Framework Agreement</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10, this Framework Agreement may not be varied except where:</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Party notifies the other Party that it wishes to vary the provisions of this Framework Agreement and provides full written details of any such proposed change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 Control Request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Authority Representative and the Supplier Representative, acting reasonably, agree to the variation and a written variation agreement is signed by the Authority Representative and the Supplier Representative in the form set out in Annex 1.</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is not required to consider any Change Control Request if the request: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solely to increase the Charges; </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one which the Authority considers to be inconsistent with the </w:t>
      </w:r>
      <w:r w:rsidDel="00000000" w:rsidR="00000000" w:rsidRPr="00000000">
        <w:rPr>
          <w:rtl w:val="0"/>
        </w:rPr>
        <w:t xml:space="preserve">FTS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Notice; or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one which is made to accommodate a Relevant Change or a Potential Relevant Change in respect of which the Parties have not applied the arrangements in Clause 10.</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Parties agree that a Change Control Request is technically feasible, the Supplier shall prepare a proposal as soon as reasonably practicable but in any event no later than twenty (20) Working Days of the date on which a Party receives the Change Control Request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Itemised Proposal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Itemised Proposal shall contain:</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reasonable and fully itemised proposals for implementing the Change Control Request.  The Supplier shall specify:</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work that needs to be performed to implement a Change Control Request;</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programme for implementation; and</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personnel required for implementation, their roles and the time they would need to commit to implementation;</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amendment that would be necessary to this Framework Agreement and Customer Contracts to give effect to the Change Control Request;</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increase or decrease to the Charges that Contracted Customers would bear following implementation of the Change Control Request.  If new Electricity Products or new Ancillary Services are being introduced, the Supplier shall specify their applicable charges; and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reasonable costs of implementing the Change Control Request.  The costs to be determined on an open-book, pass-through basis.  The Authority has the right to reject costs in the following circumstances: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costs incurred by the Supplier in connection with the Itemised Proposal for the Change Control Request;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costs the Supplier has or will incur to implement another Change Control Request; and</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costs the Supplier has incurred or will incur on any separate upgrade, modification or development of its systems that the Supplier is carrying out for its business generally.  This exclusion will not apply to any such costs that would not be incurred if the Supplier was not providing the Services.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After the Authority has received the Supplier's Itemised Proposal it may accept (in whole or in part) or reject the Itemised Proposal.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Authority has accepted in whole the Supplier's Itemised Proposal, the Supplier shall implement the Change Control Request in accordance with the Itemised Proposal.</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Authority has accepted the Supplier's Itemised Proposal in part the Supplier, unless the Supplier has reasonable grounds not to do so, shall implement the Change Control Request to the extent and in accordance with such acceptance.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any part of the Supplier's Itemised Proposal that is not accepted by the Authority, the Parties shall in good faith use reasonable endeavours to agree any amendments to the part of the Itemised Proposal that the Authority has not accepted so that the amended Itemised Proposal as a whole would be acceptable to the Authority.</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Authority has accepted more than one (1) Change Control Request within the previous two (2) Months, the Parties shall in good faith use their reasonable endeavours to agree the priority and time frame within which the Change Control Requests shall be implemented.</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Sequential Number: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[●Insert Number]</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Originator: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[●Insert Category Manager] for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 change first proposed: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[●Insert Date]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This Variation Agreement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is made on [●Insert Date]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Between: </w:t>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Minister for the 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represented by the Crown Commercial Service, being a separate trading fund of the Cabinet Office without separate legal personality, whose office is at 9th Floor  The Capital  Old Hall Street  Liverpool  L3 9PP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Number of pages attached: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N/A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Whereas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entered into a Framework Agreement for the provision of Electricity &amp; Ancillary Services dated [●] and now wish to vary that Framework Agreement as set out below.</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Now it is agreed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follows:</w:t>
      </w:r>
    </w:p>
    <w:p w:rsidR="00000000" w:rsidDel="00000000" w:rsidP="00000000" w:rsidRDefault="00000000" w:rsidRPr="00000000" w14:paraId="0000002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Status of this Agreement</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variation agreement is supplemental to the Framework Agreement.  Except as expressly amended by this variation agreement and any previous variation agreement, the Framework Agreement shall remain in full force and effect.  Terms defined in the Framework Agreement shall have the same meaning in this variation agreement, unless otherwise provided by this variation agreement.</w:t>
      </w:r>
    </w:p>
    <w:p w:rsidR="00000000" w:rsidDel="00000000" w:rsidP="00000000" w:rsidRDefault="00000000" w:rsidRPr="00000000" w14:paraId="0000002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Amendments</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effect from [●Insert Date] the Agreement shall be varied as set out below:</w:t>
      </w:r>
    </w:p>
    <w:tbl>
      <w:tblPr>
        <w:tblStyle w:val="Table1"/>
        <w:tblW w:w="8343.0" w:type="dxa"/>
        <w:jc w:val="left"/>
        <w:tblInd w:w="60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080"/>
        <w:gridCol w:w="2098"/>
        <w:gridCol w:w="2006"/>
        <w:gridCol w:w="2159"/>
        <w:tblGridChange w:id="0">
          <w:tblGrid>
            <w:gridCol w:w="2080"/>
            <w:gridCol w:w="2098"/>
            <w:gridCol w:w="2006"/>
            <w:gridCol w:w="2159"/>
          </w:tblGrid>
        </w:tblGridChange>
      </w:tblGrid>
      <w:tr>
        <w:trPr>
          <w:cantSplit w:val="0"/>
          <w:tblHeader w:val="0"/>
        </w:trPr>
        <w:tc>
          <w:tcPr>
            <w:shd w:fill="d9d9d9"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w:t>
            </w:r>
          </w:p>
        </w:tc>
        <w:tc>
          <w:tcPr>
            <w:shd w:fill="d9d9d9"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Clause (C)/ Paragraph (P)</w:t>
            </w:r>
          </w:p>
        </w:tc>
        <w:tc>
          <w:tcPr>
            <w:shd w:fill="d9d9d9"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Text</w:t>
            </w:r>
          </w:p>
        </w:tc>
        <w:tc>
          <w:tcPr>
            <w:shd w:fill="d9d9d9"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Action</w:t>
              <w:br w:type="textWrapping"/>
              <w:t xml:space="preserve">eg Insert</w:t>
              <w:br w:type="textWrapping"/>
              <w:t xml:space="preserve">Delete, Move, Add</w:t>
            </w:r>
          </w:p>
        </w:tc>
      </w:tr>
      <w:tr>
        <w:trPr>
          <w:cantSplit w:val="0"/>
          <w:tblHeader w:val="0"/>
        </w:trPr>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Delete/</w:t>
            </w:r>
            <w:r w:rsidDel="00000000" w:rsidR="00000000" w:rsidRPr="00000000">
              <w:rPr>
                <w:rFonts w:ascii="Noto Sans Symbols" w:cs="Noto Sans Symbols" w:eastAsia="Noto Sans Symbols" w:hAnsi="Noto Sans Symbols"/>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w:t>
              <w:br w:type="textWrapping"/>
              <w:t xml:space="preserve">●Delete/●Insert</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●Delete/●Insert</w:t>
              <w:br w:type="textWrapping"/>
              <w:t xml:space="preserve">●Delete/●Insert</w:t>
              <w:br w:type="textWrapping"/>
              <w:t xml:space="preserve">●Delete/●Insert</w:t>
              <w:br w:type="textWrapping"/>
              <w:t xml:space="preserve">●Delete/●Insert</w:t>
              <w:br w:type="textWrapping"/>
              <w:t xml:space="preserve">●Delete/●Insert</w:t>
              <w:br w:type="textWrapping"/>
              <w:t xml:space="preserve">●Delete/●Insert</w:t>
            </w:r>
          </w:p>
        </w:tc>
      </w:tr>
    </w:tbl>
    <w:p w:rsidR="00000000" w:rsidDel="00000000" w:rsidP="00000000" w:rsidRDefault="00000000" w:rsidRPr="00000000" w14:paraId="0000003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Consideration</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consideration of the Supplier agreeing to enter into this variation agreement and to perform its obligations under it the Authority agrees to pay and the Supplier agrees to accept on the signing of this variation agreement the sum of one (£1.00) pound sterling (receipt of which is hereby acknowledged by the Supplier).</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A">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Agreed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by the Parties through their authorised signatories:</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Signed for and on behalf of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Signature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Print name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Job Title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Signed for and on behalf of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Signature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Print name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Job Title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type w:val="nextPage"/>
      <w:pgSz w:h="16834" w:w="11909" w:orient="portrait"/>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2"/>
      <w:tblW w:w="9073.0"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3036"/>
      <w:gridCol w:w="3020"/>
      <w:gridCol w:w="3017"/>
      <w:tblGridChange w:id="0">
        <w:tblGrid>
          <w:gridCol w:w="3036"/>
          <w:gridCol w:w="3020"/>
          <w:gridCol w:w="3017"/>
        </w:tblGrid>
      </w:tblGridChange>
    </w:tblGrid>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73427043.1</w:t>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4"/>
      <w:numFmt w:val="decimal"/>
      <w:lvlText w:val="Schedule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upperLetter"/>
      <w:lvlText w:val="Appendix %1"/>
      <w:lvlJc w:val="center"/>
      <w:pPr>
        <w:ind w:left="0" w:firstLine="567"/>
      </w:pPr>
      <w:rPr>
        <w:b w:val="1"/>
        <w:i w:val="0"/>
        <w:smallCaps w:val="0"/>
        <w:strike w:val="0"/>
        <w:u w:val="none"/>
        <w:vertAlign w:val="baseline"/>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FA443F"/>
    <w:pPr>
      <w:numPr>
        <w:numId w:val="24"/>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9"/>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8"/>
      </w:numPr>
    </w:pPr>
    <w:rPr>
      <w:rFonts w:cs="Times New Roman" w:eastAsia="Times New Roman"/>
      <w:szCs w:val="24"/>
      <w:lang w:eastAsia="en-GB"/>
    </w:rPr>
  </w:style>
  <w:style w:type="paragraph" w:styleId="Recitals" w:customStyle="1">
    <w:name w:val="Recitals"/>
    <w:basedOn w:val="Normal"/>
    <w:rsid w:val="00245F35"/>
    <w:pPr>
      <w:numPr>
        <w:numId w:val="17"/>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F129FE"/>
    <w:pPr>
      <w:numPr>
        <w:numId w:val="22"/>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B77392"/>
    <w:pPr>
      <w:numPr>
        <w:numId w:val="15"/>
      </w:numPr>
      <w:spacing w:after="200" w:before="400"/>
    </w:pPr>
    <w:rPr>
      <w:rFonts w:cs="Times New Roman" w:eastAsia="Times New Roman"/>
      <w:b w:val="1"/>
      <w:szCs w:val="24"/>
      <w:lang w:eastAsia="en-GB"/>
    </w:rPr>
  </w:style>
  <w:style w:type="paragraph" w:styleId="ScheduleText2" w:customStyle="1">
    <w:name w:val="Schedule Text 2"/>
    <w:basedOn w:val="ScheduleText1"/>
    <w:next w:val="STNBodyText2"/>
    <w:rsid w:val="00B77392"/>
    <w:pPr>
      <w:numPr>
        <w:ilvl w:val="1"/>
      </w:numPr>
      <w:spacing w:before="100"/>
    </w:pPr>
    <w:rPr>
      <w:b w:val="0"/>
    </w:r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20"/>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1"/>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lcl4sNYUWBkmXGjAhZtTIGKR7w==">AMUW2mWXBV17Q7zzwJtVESeDskWCHhl39v5DNjtqYDdHyifb+KiYNBtAFFig7Csv/os/kDXtKLU8srmANbGfDfefZDSW1pooLl2VcQZoLts8rS7IIyzz8Ht35ZGzToRr6gF7qe+PmvI50gk09hF2DUDPVzvQvHYZMA==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73427043.1</vt:lpwstr>
  </property>
</Properties>
</file>